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Gemäß Verordnung (EG) Nr. 1907/2006 (REACH), Anhang II - Belgien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SICHERHEITSDATENBLATT 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DECORATEURSVERNIS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1: Bezeichnung des Stoffs beziehungsweise des Gemischs und des Unternehmens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1.1. Produktidentifikator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Produktname : DECORATEURSVERNIS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1.2. Relevante identifizierte Verwendungen des Stoffs oder des Gemischs und Verwendungen, von denen  abgeraten wird.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Verwendung des Produkts : Wäßriges Beschichtungsmittel für außen und innen.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1.3. Einzelheiten zum Lieferanten, der das Sicherheitsdatenblatt bereitstellt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  <w:t xml:space="preserve">POLYVINE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  <w:t xml:space="preserve">VINE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  <w:t xml:space="preserve">CHEDDAR BUSINESS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WEDMORE ROAD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CHEDDAR BS27 3EB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ENGLAND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Tel. +</w:t>
      </w:r>
      <w:r w:rsidDel="00000000" w:rsidR="00000000" w:rsidRPr="00000000">
        <w:rPr>
          <w:rtl w:val="0"/>
        </w:rPr>
        <w:t xml:space="preserve">44 1934 740305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vertAlign w:val="baseline"/>
        </w:rPr>
        <w:sectPr>
          <w:headerReference r:id="rId6" w:type="default"/>
          <w:footerReference r:id="rId7" w:type="default"/>
          <w:pgSz w:h="16840" w:w="11900" w:orient="portrait"/>
          <w:pgMar w:bottom="317.48031496063" w:top="317.48031496063" w:left="566.9291338582677" w:right="58.343505859375" w:header="0" w:footer="720"/>
          <w:pgNumType w:start="1"/>
        </w:sectPr>
      </w:pPr>
      <w:r w:rsidDel="00000000" w:rsidR="00000000" w:rsidRPr="00000000">
        <w:rPr>
          <w:vertAlign w:val="baseline"/>
          <w:rtl w:val="0"/>
        </w:rPr>
        <w:t xml:space="preserve">Fax. +</w:t>
      </w:r>
      <w:r w:rsidDel="00000000" w:rsidR="00000000" w:rsidRPr="00000000">
        <w:rPr>
          <w:rtl w:val="0"/>
        </w:rPr>
        <w:t xml:space="preserve">44 1934 744904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vertAlign w:val="baseline"/>
        </w:rPr>
        <w:sectPr>
          <w:type w:val="continuous"/>
          <w:pgSz w:h="16840" w:w="11900" w:orient="portrait"/>
          <w:pgMar w:bottom="317.48031496063" w:top="317.48031496063" w:left="566.9291338582677" w:right="5880.6866455078125" w:header="0" w:footer="720"/>
          <w:cols w:equalWidth="0" w:num="2">
            <w:col w:space="0" w:w="2728.94"/>
            <w:col w:space="0" w:w="2728.94"/>
          </w:cols>
        </w:sectPr>
      </w:pPr>
      <w:r w:rsidDel="00000000" w:rsidR="00000000" w:rsidRPr="00000000">
        <w:rPr>
          <w:rtl w:val="0"/>
        </w:rPr>
        <w:t xml:space="preserve">E-Mail-Adresse der </w:t>
      </w:r>
      <w:r w:rsidDel="00000000" w:rsidR="00000000" w:rsidRPr="00000000">
        <w:rPr>
          <w:vertAlign w:val="baseline"/>
          <w:rtl w:val="0"/>
        </w:rPr>
        <w:t xml:space="preserve">  : </w:t>
      </w:r>
      <w:r w:rsidDel="00000000" w:rsidR="00000000" w:rsidRPr="00000000">
        <w:rPr>
          <w:rtl w:val="0"/>
        </w:rPr>
        <w:t xml:space="preserve">laboratory@polyvine.co.uk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  <w:t xml:space="preserve">sachkundigen Person für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dieses SDB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1.4 Notrufnummer 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  <w:t xml:space="preserve">Telefonnummer </w:t>
      </w:r>
      <w:r w:rsidDel="00000000" w:rsidR="00000000" w:rsidRPr="00000000">
        <w:rPr>
          <w:vertAlign w:val="baseline"/>
          <w:rtl w:val="0"/>
        </w:rPr>
        <w:t xml:space="preserve">: +</w:t>
      </w:r>
      <w:r w:rsidDel="00000000" w:rsidR="00000000" w:rsidRPr="00000000">
        <w:rPr>
          <w:rtl w:val="0"/>
        </w:rPr>
        <w:t xml:space="preserve">44 1934 740305</w:t>
      </w:r>
      <w:r w:rsidDel="00000000" w:rsidR="00000000" w:rsidRPr="00000000">
        <w:rPr>
          <w:vertAlign w:val="baseline"/>
          <w:rtl w:val="0"/>
        </w:rPr>
        <w:t xml:space="preserve"> (8.00 – 16.30) 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ntipoisoncenter/Antigifcentrum/Centre Antipoisons/Antigiftzentrum: +32 (0) 70 245  245 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Versi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vertAlign w:val="baseline"/>
          <w:rtl w:val="0"/>
        </w:rPr>
        <w:t xml:space="preserve"> :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  <w:t xml:space="preserve">Datum der letzten Ausgabe</w:t>
      </w:r>
      <w:r w:rsidDel="00000000" w:rsidR="00000000" w:rsidRPr="00000000">
        <w:rPr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  <w:t xml:space="preserve">5-1-2019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436.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2: Mögliche Gefahren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1.2" w:lineRule="auto"/>
        <w:rPr/>
      </w:pPr>
      <w:r w:rsidDel="00000000" w:rsidR="00000000" w:rsidRPr="00000000">
        <w:rPr>
          <w:rtl w:val="0"/>
        </w:rPr>
        <w:t xml:space="preserve">2.1 Einstufung des Stoffs oder Gemischs </w:t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Produktdefinition : Gemisch </w:t>
      </w:r>
    </w:p>
    <w:p w:rsidR="00000000" w:rsidDel="00000000" w:rsidP="00000000" w:rsidRDefault="00000000" w:rsidRPr="00000000" w14:paraId="00000023">
      <w:pPr>
        <w:spacing w:line="331.2" w:lineRule="auto"/>
        <w:rPr/>
      </w:pPr>
      <w:r w:rsidDel="00000000" w:rsidR="00000000" w:rsidRPr="00000000">
        <w:rPr>
          <w:rtl w:val="0"/>
        </w:rPr>
        <w:t xml:space="preserve">Einstufung gemäß der Verordnung (EG) Nr. 1272/2008 [CLP/GHS] </w:t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Nicht eingestuft. </w:t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  <w:t xml:space="preserve">Das Produkt ist nicht als gefährlich eingestuft gemäß der Verordnung (EG) 1272/2008 und deren Änderungen.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Inhaltsstoffe mit nicht  bekannter Toxizität : 0%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Inhaltsstoffe mit nicht  bekannter Ökotoxizität : 0%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Siehe Abschnitt 11 für detailiertere Informationen zu gesundheitlichen Auswirkungen und Symptomen.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2.2 Kennzeichnungselemente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Signalwort :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Kein Signalwort.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Gefahrenhinweise 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Keine besonderen Wirkungen oder Gefahren bekannt.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Ausgabedatum  : 5-1-2019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369.414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DECORATEURSVERNIS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576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59.97001647949219" w:firstLine="0"/>
              <w:rPr/>
            </w:pPr>
            <w:r w:rsidDel="00000000" w:rsidR="00000000" w:rsidRPr="00000000">
              <w:rPr>
                <w:rtl w:val="0"/>
              </w:rPr>
              <w:t xml:space="preserve">ABSCHNITT 2: Mögliche Gefahren</w:t>
            </w:r>
          </w:p>
        </w:tc>
      </w:tr>
    </w:tbl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Sicherheitshinweise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Algeme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n : P102 - </w:t>
      </w:r>
      <w:r w:rsidDel="00000000" w:rsidR="00000000" w:rsidRPr="00000000">
        <w:rPr>
          <w:rtl w:val="0"/>
        </w:rPr>
        <w:t xml:space="preserve">Darf nicht in die Hände von Kindern gelangen.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vertAlign w:val="baseline"/>
          <w:rtl w:val="0"/>
        </w:rPr>
        <w:t xml:space="preserve">P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01+312 </w:t>
      </w:r>
      <w:r w:rsidDel="00000000" w:rsidR="00000000" w:rsidRPr="00000000">
        <w:rPr>
          <w:highlight w:val="white"/>
          <w:rtl w:val="0"/>
        </w:rPr>
        <w:t xml:space="preserve">BEI VERSCHLUCKEN: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color w:val="202124"/>
          <w:highlight w:val="white"/>
          <w:rtl w:val="0"/>
        </w:rPr>
        <w:t xml:space="preserve">Bei Unwohlsein GIFTINFORMATIONSZENTRUM/Arzt/… </w:t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                   anrufen</w:t>
      </w:r>
      <w:r w:rsidDel="00000000" w:rsidR="00000000" w:rsidRPr="00000000">
        <w:rPr>
          <w:color w:val="555555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Reactie : P280 - </w:t>
      </w:r>
      <w:r w:rsidDel="00000000" w:rsidR="00000000" w:rsidRPr="00000000">
        <w:rPr>
          <w:color w:val="202124"/>
          <w:rtl w:val="0"/>
        </w:rPr>
        <w:t xml:space="preserve">Schutzhandschuhe/ Schutzkleidung/Augenschutz/ Gesichtsschutz tragen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rtl w:val="0"/>
        </w:rPr>
        <w:t xml:space="preserve">                P302+350  - </w:t>
      </w:r>
      <w:r w:rsidDel="00000000" w:rsidR="00000000" w:rsidRPr="00000000">
        <w:rPr>
          <w:highlight w:val="white"/>
          <w:rtl w:val="0"/>
        </w:rPr>
        <w:t xml:space="preserve">BEI BERÜHRUNG MIT DER HAUT:Einige Minuten lang vorsichtig mit Wasser ausspülen.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highlight w:val="white"/>
        </w:rPr>
      </w:pPr>
      <w:r w:rsidDel="00000000" w:rsidR="00000000" w:rsidRPr="00000000">
        <w:rPr>
          <w:rtl w:val="0"/>
        </w:rPr>
        <w:t xml:space="preserve">                P305+351+338 - </w:t>
      </w:r>
      <w:r w:rsidDel="00000000" w:rsidR="00000000" w:rsidRPr="00000000">
        <w:rPr>
          <w:color w:val="202124"/>
          <w:highlight w:val="white"/>
          <w:rtl w:val="0"/>
        </w:rPr>
        <w:t xml:space="preserve">BEI BERÜHRUNG MIT DEN AUGEN</w:t>
      </w:r>
      <w:r w:rsidDel="00000000" w:rsidR="00000000" w:rsidRPr="00000000">
        <w:rPr>
          <w:color w:val="555555"/>
          <w:sz w:val="20"/>
          <w:szCs w:val="20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Einige Minuten lang vorsichtig mit Wasser </w:t>
      </w:r>
    </w:p>
    <w:p w:rsidR="00000000" w:rsidDel="00000000" w:rsidP="00000000" w:rsidRDefault="00000000" w:rsidRPr="00000000" w14:paraId="0000003D">
      <w:pPr>
        <w:ind w:firstLine="720"/>
        <w:rPr>
          <w:color w:val="202124"/>
          <w:sz w:val="26"/>
          <w:szCs w:val="26"/>
        </w:rPr>
      </w:pPr>
      <w:r w:rsidDel="00000000" w:rsidR="00000000" w:rsidRPr="00000000">
        <w:rPr>
          <w:highlight w:val="white"/>
          <w:rtl w:val="0"/>
        </w:rPr>
        <w:t xml:space="preserve">     ausspülen. </w:t>
      </w:r>
      <w:r w:rsidDel="00000000" w:rsidR="00000000" w:rsidRPr="00000000">
        <w:rPr>
          <w:color w:val="202124"/>
          <w:highlight w:val="white"/>
          <w:rtl w:val="0"/>
        </w:rPr>
        <w:t xml:space="preserve">Evtl. vorhandene Kontaktlinsen nach Möglichkeit entfernen. Weiter ausspülen.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Anhang XVII - Beschränkung der Herstellung des Inverkehrbringens und der  Verwendung bestimmter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gefährlicher Stoffe, Mischungen und  Erzeugnisse : Nicht anwendbar.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Spezielle Verpackungsanforderungen</w:t>
      </w:r>
    </w:p>
    <w:p w:rsidR="00000000" w:rsidDel="00000000" w:rsidP="00000000" w:rsidRDefault="00000000" w:rsidRPr="00000000" w14:paraId="00000042">
      <w:pPr>
        <w:widowControl w:val="0"/>
        <w:spacing w:before="73.0987548828125" w:line="241.8782901763916" w:lineRule="auto"/>
        <w:ind w:firstLine="13.79547119140625"/>
        <w:rPr/>
      </w:pPr>
      <w:r w:rsidDel="00000000" w:rsidR="00000000" w:rsidRPr="00000000">
        <w:rPr>
          <w:rtl w:val="0"/>
        </w:rPr>
        <w:t xml:space="preserve">Mit kindergesicherten  Verschlüssen</w:t>
      </w:r>
      <w:r w:rsidDel="00000000" w:rsidR="00000000" w:rsidRPr="00000000">
        <w:rPr>
          <w:b w:val="1"/>
          <w:color w:val="0000ff"/>
          <w:sz w:val="19.430280685424805"/>
          <w:szCs w:val="19.430280685424805"/>
          <w:rtl w:val="0"/>
        </w:rPr>
        <w:t xml:space="preserve">  </w:t>
      </w:r>
      <w:r w:rsidDel="00000000" w:rsidR="00000000" w:rsidRPr="00000000">
        <w:rPr>
          <w:rtl w:val="0"/>
        </w:rPr>
        <w:t xml:space="preserve">auszustattende Behälter : Nicht anwendbar.</w:t>
      </w:r>
    </w:p>
    <w:p w:rsidR="00000000" w:rsidDel="00000000" w:rsidP="00000000" w:rsidRDefault="00000000" w:rsidRPr="00000000" w14:paraId="00000043">
      <w:pPr>
        <w:widowControl w:val="0"/>
        <w:spacing w:before="73.0987548828125" w:line="241.8782901763916" w:lineRule="auto"/>
        <w:ind w:firstLine="13.79547119140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73.0987548828125" w:line="241.8782901763916" w:lineRule="auto"/>
        <w:ind w:firstLine="13.79547119140625"/>
        <w:rPr/>
      </w:pPr>
      <w:r w:rsidDel="00000000" w:rsidR="00000000" w:rsidRPr="00000000">
        <w:rPr>
          <w:rtl w:val="0"/>
        </w:rPr>
        <w:t xml:space="preserve">Tastbarer Warnhinweis : Nicht anwendbar.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2.3 Sonstige Gefahren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Andere Gefahren, die zu keiner Einstufung führen :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Keine bekannt.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15"/>
        <w:tblGridChange w:id="0">
          <w:tblGrid>
            <w:gridCol w:w="10215"/>
          </w:tblGrid>
        </w:tblGridChange>
      </w:tblGrid>
      <w:tr>
        <w:trPr>
          <w:cantSplit w:val="0"/>
          <w:trHeight w:val="436.5814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59.97001647949219" w:firstLine="0"/>
              <w:rPr/>
            </w:pPr>
            <w:r w:rsidDel="00000000" w:rsidR="00000000" w:rsidRPr="00000000">
              <w:rPr>
                <w:rtl w:val="0"/>
              </w:rPr>
              <w:t xml:space="preserve">ABSCHNITT 3: Zusammensetzung/Angaben zu Bestandteilen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3.2 Gemische : Gemisch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Es sind keine zusätzlichen Inhaltsstoffe vorhanden, die nach dem aktuellen Wissenstand des Lieferanten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in den  zutreffenden Konzentrationen als gesundheits- oder umweltschädlich eingestuft sind, PBT- oder vPvB-Stoffe bzw. gleichermaßen bedenkliche Stoffe sind oder welche einen Arbeitsplatzgrenzwert haben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und daher in diesem Abschnitt  angegeben werden müssten.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Typ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[1] Stoff eingestuft als gesundheitsgefährdend oder umweltgefährlich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[2] Stoff mit einem Arbeitsplatzgrenzwert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[3] Stoff erfüllt die Kriterien für PBT gemäß der Verordnung (EG) Nr. 1907/2006, Anhang XIII [4] Stoff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erfüllt die Kriterien für vPvB gemäß der Verordnung (EG) Nr. 1907/2006, Anhang XIII [5] Ähnlich besorgniserregender Stoff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[6] Zusätzliche Offenlegung gemäß Unternehmensrichtlinie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Die Grenzwerte für die Exposition am Arbeitsplatz sind, wenn verfügbar, in Abschnitt 8 wiedergegeben.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Ausgabedatum  : 5-1-2019</w:t>
      </w:r>
    </w:p>
    <w:tbl>
      <w:tblPr>
        <w:tblStyle w:val="Table5"/>
        <w:tblW w:w="10439.4330708661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433070866144"/>
        <w:tblGridChange w:id="0">
          <w:tblGrid>
            <w:gridCol w:w="10439.433070866144"/>
          </w:tblGrid>
        </w:tblGridChange>
      </w:tblGrid>
      <w:tr>
        <w:trPr>
          <w:cantSplit w:val="0"/>
          <w:trHeight w:val="357.4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DECORATEURSVERNIS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39.577789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778930664"/>
        <w:tblGridChange w:id="0">
          <w:tblGrid>
            <w:gridCol w:w="10439.57778930664"/>
          </w:tblGrid>
        </w:tblGridChange>
      </w:tblGrid>
      <w:tr>
        <w:trPr>
          <w:cantSplit w:val="0"/>
          <w:trHeight w:val="436.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59.97001647949219" w:firstLine="0"/>
              <w:rPr/>
            </w:pPr>
            <w:r w:rsidDel="00000000" w:rsidR="00000000" w:rsidRPr="00000000">
              <w:rPr>
                <w:rtl w:val="0"/>
              </w:rPr>
              <w:t xml:space="preserve">ABSCHNITT 4: Erste-Hilfe-Maßnahmen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4.1 Beschreibung der Erste-Hilfe-Maßnahmen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Allgemein : Bei  Auftreten von Symptomen oder bei allen Zweifelsfällen einen Arzt aufsuchen.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Niemals einer bewußtlosen Person etwas durch den Mund verabreichen. Bei 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Bewußtlosigkeit in stabile Seitenlage bringen und ärztlichen Rat einholen.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Augenkontakt : Kontaktlinsen entfernen, Augenlider für mindestens 10 Minuten geöffnet halten und 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reichlich mit sauberem, frischem Wasser spülen und unverzüglich ärztlichen Rat einholen.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Inhalativ : An die frische Luft bringen. Person warm und ruhig halten. Bei nicht vorhandener  oder unregelmäßiger Atmung oder beim Auftreten eines Atemstillstands ist durch  ausgebildetes Personal eine künstliche Beatmung oder Sauerstoffgabe einzuleiten.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Hautkontakt : Verschmutzte Kleidung und Schuhe ausziehen. Haut gründlich mit Seife und Wasser reinigen oder zugelassenes Hautreinigungsmittel verwenden. Lösemittel  oder Verdünner NICHT verwenden.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Verschlucken : Bei Verschlucken sofort ärztlichen Rat einholen und Verpackung oder Etikett  vorzeigen.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Person warm und ruhig halten. KEIN Erbrechen herbeiführen.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Schutz der Ersthelfer : Es sollen keine Maßnahmen ergriffen werden, die mit persönlichem Risiko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einhergehen oder nicht ausreichend trainiert wurden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4.2 Wichtigste akute und verzögert auftretende Symptome und Wirkungen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Für das Gemisch selbst liegen keine Daten vor. Das Produkt ist nicht als gefährlich eingestuft gemäß der Verordnung  (EG) 1272/2008 und deren Änderungen.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Wiederholter oder langanhaltender Kontakt mit dem Gemisch kann den Entzug des natürlichen Fett aus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der Haut  verursachen und zu einer nichtallergischen Kontaktdermatitis sowie der Absorption durch die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Haut führen. Spritzer in die Augen können Reizungen und reversible Schäden verursachen.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Dies berücksichtigt, wenn bekannt, verzögerte und sofortige Auswirkungen sowie chronische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Auswirkungen der  Bestandteile, durch kurzfristige und langfristige Exposition über orale, inhalative und dermale Expositionswege sowie  Augenkontakt.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4.3 Hinweise auf ärztliche Soforthilfe oder Spezialbehandlung </w:t>
      </w:r>
    </w:p>
    <w:p w:rsidR="00000000" w:rsidDel="00000000" w:rsidP="00000000" w:rsidRDefault="00000000" w:rsidRPr="00000000" w14:paraId="00000074">
      <w:pPr>
        <w:widowControl w:val="0"/>
        <w:spacing w:before="68.323974609375" w:line="240" w:lineRule="auto"/>
        <w:ind w:left="777.0025634765625" w:hanging="777.0025634765625"/>
        <w:rPr/>
      </w:pPr>
      <w:r w:rsidDel="00000000" w:rsidR="00000000" w:rsidRPr="00000000">
        <w:rPr>
          <w:rtl w:val="0"/>
        </w:rPr>
        <w:t xml:space="preserve">Hinweise für den Arzt : Bei Einatmen der Verbrennungsprodukte können Symptome verzögert eintreten.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Die betroffene Person muss möglicherweise 48 Stunden unter ärztlicher Beobachtung bleiben.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Besondere Behandlungen : Keine besondere Behandlung.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Toxikologische Angaben (siehe Abschnitt 11)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431.7834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59.97001647949219" w:firstLine="0"/>
              <w:rPr/>
            </w:pPr>
            <w:r w:rsidDel="00000000" w:rsidR="00000000" w:rsidRPr="00000000">
              <w:rPr>
                <w:rtl w:val="0"/>
              </w:rPr>
              <w:t xml:space="preserve">ABSCHNITT 5: Maßnahmen zur Brandbekämpfung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5.1 Löschmittel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Geeignete Löschmittel : Empfohlen : alkoholbeständiger schaum , CO2, pulver ,Sprühwasser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Ungeeignete Löschmittel :  Keinen Wasserstrahl verwenden.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5.2 Besondere vom Stoff oder Gemisch ausgehende Gefahren.</w:t>
      </w:r>
    </w:p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rtl w:val="0"/>
        </w:rPr>
        <w:t xml:space="preserve">Gefahren, die von dem  Stoff oder der Mischung ausgehen </w:t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  <w:t xml:space="preserve">Bei Brand entsteht dichter, schwarzer Rauch. Die Einwirkung der  Zersetzungsprodukte kann Gesundheitsschäden verursachen. </w:t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  <w:t xml:space="preserve">Gefährliche Verbrennungsprodukte : Zu den Zerfallsprodukten können die folgenden Materialien gehören: Kohlenmonoxid, Kohlendioxid, Rauch, Stickoxide.</w:t>
      </w:r>
    </w:p>
    <w:p w:rsidR="00000000" w:rsidDel="00000000" w:rsidP="00000000" w:rsidRDefault="00000000" w:rsidRPr="00000000" w14:paraId="00000081">
      <w:pPr>
        <w:ind w:left="0" w:firstLine="0"/>
        <w:rPr/>
      </w:pPr>
      <w:r w:rsidDel="00000000" w:rsidR="00000000" w:rsidRPr="00000000">
        <w:rPr>
          <w:rtl w:val="0"/>
        </w:rPr>
        <w:t xml:space="preserve">5.3 Hinweise für die Brandbekämpfung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Spezielle Schutzmassnahmen für  Feuerwehrleute : Dem Feuer ausgesetzte geschlossene Behälter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mit Wasser kühlen. Löschwasser  nicht in Abflüsse oder Wasserwege gelangen lassen.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Besondere Schutzausrüstung bei der Brandbekämpfung :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Ein geeignetes Atemschutzgerät kann erforderlich sein.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Ausgabedatum : 5-1-2019</w:t>
      </w:r>
    </w:p>
    <w:tbl>
      <w:tblPr>
        <w:tblStyle w:val="Table8"/>
        <w:tblW w:w="10439.4330708661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433070866144"/>
        <w:tblGridChange w:id="0">
          <w:tblGrid>
            <w:gridCol w:w="10439.433070866144"/>
          </w:tblGrid>
        </w:tblGridChange>
      </w:tblGrid>
      <w:tr>
        <w:trPr>
          <w:cantSplit w:val="0"/>
          <w:trHeight w:val="357.4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DECORATEURSVERNIS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59.97001647949219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6: Maßnahmen bei unbeabsichtigter Freisetzung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6.1 Personenbezogene Vorsichtsmaßnahmen, Schutzausrüstungen und in Notfällen anzuwendende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Verfahren Nicht für Notfälle geschultes Personal: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Einatmen von Dampf oder Nebel vermeiden. Schutzvorschriften in Abschnitt 7 und 8  beachten. </w:t>
      </w:r>
    </w:p>
    <w:p w:rsidR="00000000" w:rsidDel="00000000" w:rsidP="00000000" w:rsidRDefault="00000000" w:rsidRPr="00000000" w14:paraId="0000008E">
      <w:pPr>
        <w:rPr>
          <w:vertAlign w:val="baseline"/>
        </w:rPr>
      </w:pPr>
      <w:r w:rsidDel="00000000" w:rsidR="00000000" w:rsidRPr="00000000">
        <w:rPr>
          <w:rtl w:val="0"/>
        </w:rPr>
        <w:t xml:space="preserve">Einsatzkräfte </w:t>
      </w:r>
      <w:r w:rsidDel="00000000" w:rsidR="00000000" w:rsidRPr="00000000">
        <w:rPr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vertAlign w:val="baseline"/>
          <w:rtl w:val="0"/>
        </w:rPr>
        <w:t xml:space="preserve">I</w:t>
      </w:r>
      <w:r w:rsidDel="00000000" w:rsidR="00000000" w:rsidRPr="00000000">
        <w:rPr>
          <w:rtl w:val="0"/>
        </w:rPr>
        <w:t xml:space="preserve">Falls für den Umgang mit der Verschüttung Spezialkleidung benötigt wird, ist 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Abschnitt 8 zu geeigneten und ungeeigneten Materialien zu beachten. Siehe auch 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Informationen in "Nicht für Notfälle geschultes Personal".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6.2 Umweltschutzmaßnahmen 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Nicht in die Kanalisation oder Gewässer gelangen lassen. Bei der Verschmutzung  von Flüssen, Seen oder Abwasserleitungen entsprechend den örtlichen Gesetzen.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6.3 Methoden und Material für Rückhaltung und  Reinigung :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Ausgetretenes Material mit unbrennbarem Aufsaugmittel (z.B. Sand, Erde, Vermiculite, Kieselgur)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eingrenzen und zur Entsorgung nach den örtlichen  Bestimmungen in einen dafür vorgesehenen Behälter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geben (siehe Abschnitt 13). Vorzugsweise mit Reinigungsmittel säubern. Den Gebrauch von Lösemittel  vermeiden.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6.4 Verweis auf andere  Abschnitte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Siehe Abschnitt 1 für Kontaktinformationen im Notfall.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Siehe Abschnitt 8 für Informationen bezüglich geeigneter persönlicher  Schutzausrüstung.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Siehe Abschnitt 13 für weitere Angaben zur Abfallbehandlung.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439.577789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778930664"/>
        <w:tblGridChange w:id="0">
          <w:tblGrid>
            <w:gridCol w:w="10439.57778930664"/>
          </w:tblGrid>
        </w:tblGridChange>
      </w:tblGrid>
      <w:tr>
        <w:trPr>
          <w:cantSplit w:val="0"/>
          <w:trHeight w:val="434.1827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59.97001647949219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7: Handhabung und Lagerung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32.01751708984375" w:lineRule="auto"/>
        <w:ind w:left="0" w:right="483.074951171875" w:firstLine="0"/>
        <w:rPr>
          <w:vertAlign w:val="baseline"/>
        </w:rPr>
      </w:pPr>
      <w:r w:rsidDel="00000000" w:rsidR="00000000" w:rsidRPr="00000000">
        <w:rPr>
          <w:rtl w:val="0"/>
        </w:rPr>
        <w:t xml:space="preserve">Die Informationen in diesem Abschnitt enthalten allgemeine Ratschläge und Anleitungen. Die identifizierte Verwendung  in Abschnitt 1 sollte für jede anwendungsspezifische Information im Expositionsszenario/Expositionsszenarien  hinzugezogen werden.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7.1 </w:t>
      </w:r>
      <w:r w:rsidDel="00000000" w:rsidR="00000000" w:rsidRPr="00000000">
        <w:rPr>
          <w:rtl w:val="0"/>
        </w:rPr>
        <w:t xml:space="preserve">Schutzmaßnahmen zur sicheren Handhabung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32.00557231903076" w:lineRule="auto"/>
        <w:rPr/>
      </w:pPr>
      <w:r w:rsidDel="00000000" w:rsidR="00000000" w:rsidRPr="00000000">
        <w:rPr>
          <w:rtl w:val="0"/>
        </w:rPr>
        <w:t xml:space="preserve">Berührung mit den Augen und der Haut vermeiden. Einatmen des Dampfes, Sprühnebels oder Nebels </w:t>
      </w:r>
    </w:p>
    <w:p w:rsidR="00000000" w:rsidDel="00000000" w:rsidP="00000000" w:rsidRDefault="00000000" w:rsidRPr="00000000" w14:paraId="000000A4">
      <w:pPr>
        <w:widowControl w:val="0"/>
        <w:spacing w:before="5.20751953125" w:line="240" w:lineRule="auto"/>
        <w:rPr/>
      </w:pPr>
      <w:r w:rsidDel="00000000" w:rsidR="00000000" w:rsidRPr="00000000">
        <w:rPr>
          <w:rtl w:val="0"/>
        </w:rPr>
        <w:t xml:space="preserve">vermeiden. Das Essen, Trinken und Rauchen ist in Bereichen, in denen diese Substanz  verwendet, </w:t>
      </w:r>
    </w:p>
    <w:p w:rsidR="00000000" w:rsidDel="00000000" w:rsidP="00000000" w:rsidRDefault="00000000" w:rsidRPr="00000000" w14:paraId="000000A5">
      <w:pPr>
        <w:widowControl w:val="0"/>
        <w:spacing w:before="5.20751953125" w:line="240" w:lineRule="auto"/>
        <w:rPr/>
      </w:pPr>
      <w:r w:rsidDel="00000000" w:rsidR="00000000" w:rsidRPr="00000000">
        <w:rPr>
          <w:rtl w:val="0"/>
        </w:rPr>
        <w:t xml:space="preserve">gelagert oder verarbeitet wird, zu verbieten. </w:t>
      </w:r>
    </w:p>
    <w:p w:rsidR="00000000" w:rsidDel="00000000" w:rsidP="00000000" w:rsidRDefault="00000000" w:rsidRPr="00000000" w14:paraId="000000A6">
      <w:pPr>
        <w:widowControl w:val="0"/>
        <w:spacing w:before="5.20751953125" w:line="240" w:lineRule="auto"/>
        <w:rPr/>
      </w:pPr>
      <w:r w:rsidDel="00000000" w:rsidR="00000000" w:rsidRPr="00000000">
        <w:rPr>
          <w:rtl w:val="0"/>
        </w:rPr>
        <w:t xml:space="preserve">Geeignete Schutzausrüstung anlegen (siehe Abschnitt 8). 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Nie mit Druck leeren. Behälter ist kein Druckbehälter. </w:t>
      </w:r>
    </w:p>
    <w:p w:rsidR="00000000" w:rsidDel="00000000" w:rsidP="00000000" w:rsidRDefault="00000000" w:rsidRPr="00000000" w14:paraId="000000A8">
      <w:pPr>
        <w:widowControl w:val="0"/>
        <w:spacing w:line="232.00718879699707" w:lineRule="auto"/>
        <w:rPr/>
      </w:pPr>
      <w:r w:rsidDel="00000000" w:rsidR="00000000" w:rsidRPr="00000000">
        <w:rPr>
          <w:rtl w:val="0"/>
        </w:rPr>
        <w:t xml:space="preserve">Immer in Behältern lagern, die aus dem gleichen Material gefertigt sind, wie der  Originalbehälter. </w:t>
      </w:r>
    </w:p>
    <w:p w:rsidR="00000000" w:rsidDel="00000000" w:rsidP="00000000" w:rsidRDefault="00000000" w:rsidRPr="00000000" w14:paraId="000000A9">
      <w:pPr>
        <w:widowControl w:val="0"/>
        <w:spacing w:before="5.2069091796875" w:line="240" w:lineRule="auto"/>
        <w:rPr/>
      </w:pPr>
      <w:r w:rsidDel="00000000" w:rsidR="00000000" w:rsidRPr="00000000">
        <w:rPr>
          <w:rtl w:val="0"/>
        </w:rPr>
        <w:t xml:space="preserve">Gesetzliche Schutz- und Sicherheitsvorschriften befolgen. </w:t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Nicht in die Kanalisation oder Gewässer gelangen lassen. </w:t>
      </w:r>
    </w:p>
    <w:p w:rsidR="00000000" w:rsidDel="00000000" w:rsidP="00000000" w:rsidRDefault="00000000" w:rsidRPr="00000000" w14:paraId="000000AB">
      <w:pPr>
        <w:widowControl w:val="0"/>
        <w:spacing w:before="224.2230224609375" w:line="232.00624465942383" w:lineRule="auto"/>
        <w:rPr/>
      </w:pPr>
      <w:r w:rsidDel="00000000" w:rsidR="00000000" w:rsidRPr="00000000">
        <w:rPr>
          <w:rtl w:val="0"/>
        </w:rPr>
        <w:t xml:space="preserve">Wenn sich Personen, unabhängig ob sie selbst Spritzlackieren oder nicht, während  des Lackierens</w:t>
      </w:r>
    </w:p>
    <w:p w:rsidR="00000000" w:rsidDel="00000000" w:rsidP="00000000" w:rsidRDefault="00000000" w:rsidRPr="00000000" w14:paraId="000000AC">
      <w:pPr>
        <w:widowControl w:val="0"/>
        <w:spacing w:before="224.2230224609375" w:line="232.00624465942383" w:lineRule="auto"/>
        <w:rPr/>
      </w:pPr>
      <w:r w:rsidDel="00000000" w:rsidR="00000000" w:rsidRPr="00000000">
        <w:rPr>
          <w:rtl w:val="0"/>
        </w:rPr>
        <w:t xml:space="preserve"> innerhalb der Spritzkabine befinden, ist mit Einwirkung von  Aerosolen </w:t>
      </w:r>
    </w:p>
    <w:p w:rsidR="00000000" w:rsidDel="00000000" w:rsidP="00000000" w:rsidRDefault="00000000" w:rsidRPr="00000000" w14:paraId="000000AD">
      <w:pPr>
        <w:widowControl w:val="0"/>
        <w:spacing w:before="224.2230224609375" w:line="232.00624465942383" w:lineRule="auto"/>
        <w:rPr/>
      </w:pPr>
      <w:r w:rsidDel="00000000" w:rsidR="00000000" w:rsidRPr="00000000">
        <w:rPr>
          <w:rtl w:val="0"/>
        </w:rPr>
        <w:t xml:space="preserve">und Lösemitteldämpfen zu rechnen. Bei solchen Bedingungen sollte  </w:t>
      </w:r>
    </w:p>
    <w:p w:rsidR="00000000" w:rsidDel="00000000" w:rsidP="00000000" w:rsidRDefault="00000000" w:rsidRPr="00000000" w14:paraId="000000AE">
      <w:pPr>
        <w:widowControl w:val="0"/>
        <w:spacing w:before="224.2230224609375" w:line="232.00624465942383" w:lineRule="auto"/>
        <w:rPr/>
      </w:pPr>
      <w:r w:rsidDel="00000000" w:rsidR="00000000" w:rsidRPr="00000000">
        <w:rPr>
          <w:rtl w:val="0"/>
        </w:rPr>
        <w:t xml:space="preserve">Atemschutz während des Spritzlackierens getragen werden, bis die </w:t>
      </w:r>
    </w:p>
    <w:p w:rsidR="00000000" w:rsidDel="00000000" w:rsidP="00000000" w:rsidRDefault="00000000" w:rsidRPr="00000000" w14:paraId="000000AF">
      <w:pPr>
        <w:widowControl w:val="0"/>
        <w:spacing w:before="224.2230224609375" w:line="232.00624465942383" w:lineRule="auto"/>
        <w:rPr/>
      </w:pPr>
      <w:r w:rsidDel="00000000" w:rsidR="00000000" w:rsidRPr="00000000">
        <w:rPr>
          <w:rtl w:val="0"/>
        </w:rPr>
        <w:t xml:space="preserve">Aerosol- und  Lösemitteldampf-Konzentration unter die Luftgrenzwerte gefallen sind.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Ausgabedatum : 5-1-2019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439.57798004150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7980041504"/>
        <w:tblGridChange w:id="0">
          <w:tblGrid>
            <w:gridCol w:w="10439.577980041504"/>
          </w:tblGrid>
        </w:tblGridChange>
      </w:tblGrid>
      <w:tr>
        <w:trPr>
          <w:cantSplit w:val="0"/>
          <w:trHeight w:val="370.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DECORATEURSVERNIS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3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51.57421112060547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7: Handhabung und Lagerung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7.2 Bedingungen zur sicheren Lagerung unter Berücksichtigung von Unverträglichkeiten </w:t>
      </w:r>
    </w:p>
    <w:p w:rsidR="00000000" w:rsidDel="00000000" w:rsidP="00000000" w:rsidRDefault="00000000" w:rsidRPr="00000000" w14:paraId="000000B6">
      <w:pPr>
        <w:ind w:firstLine="0"/>
        <w:rPr/>
      </w:pPr>
      <w:r w:rsidDel="00000000" w:rsidR="00000000" w:rsidRPr="00000000">
        <w:rPr>
          <w:rtl w:val="0"/>
        </w:rPr>
        <w:t xml:space="preserve">Aufbewahren gemäß den örtlichen Bestimmungen. </w:t>
      </w:r>
    </w:p>
    <w:p w:rsidR="00000000" w:rsidDel="00000000" w:rsidP="00000000" w:rsidRDefault="00000000" w:rsidRPr="00000000" w14:paraId="000000B7">
      <w:pPr>
        <w:ind w:firstLine="0"/>
        <w:rPr/>
      </w:pPr>
      <w:r w:rsidDel="00000000" w:rsidR="00000000" w:rsidRPr="00000000">
        <w:rPr>
          <w:rtl w:val="0"/>
        </w:rPr>
        <w:t xml:space="preserve">Hinweise zur gemeinsamen Lagerung </w:t>
      </w:r>
    </w:p>
    <w:p w:rsidR="00000000" w:rsidDel="00000000" w:rsidP="00000000" w:rsidRDefault="00000000" w:rsidRPr="00000000" w14:paraId="000000B8">
      <w:pPr>
        <w:ind w:firstLine="0"/>
        <w:rPr/>
      </w:pPr>
      <w:r w:rsidDel="00000000" w:rsidR="00000000" w:rsidRPr="00000000">
        <w:rPr>
          <w:rtl w:val="0"/>
        </w:rPr>
        <w:t xml:space="preserve">Fernhalten von: Oxidationsmittel, starke Laugen, starke Säuren. </w:t>
      </w:r>
    </w:p>
    <w:p w:rsidR="00000000" w:rsidDel="00000000" w:rsidP="00000000" w:rsidRDefault="00000000" w:rsidRPr="00000000" w14:paraId="000000B9">
      <w:pPr>
        <w:ind w:firstLine="0"/>
        <w:rPr/>
      </w:pPr>
      <w:r w:rsidDel="00000000" w:rsidR="00000000" w:rsidRPr="00000000">
        <w:rPr>
          <w:rtl w:val="0"/>
        </w:rPr>
        <w:t xml:space="preserve">Weitere Informationen zu Lagerungsbedingungen </w:t>
      </w:r>
    </w:p>
    <w:p w:rsidR="00000000" w:rsidDel="00000000" w:rsidP="00000000" w:rsidRDefault="00000000" w:rsidRPr="00000000" w14:paraId="000000BA">
      <w:pPr>
        <w:ind w:left="0" w:firstLine="0"/>
        <w:rPr/>
      </w:pPr>
      <w:r w:rsidDel="00000000" w:rsidR="00000000" w:rsidRPr="00000000">
        <w:rPr>
          <w:rtl w:val="0"/>
        </w:rPr>
        <w:t xml:space="preserve">Hinweise auf dem Etikett beachten. Trocken, kühl und bei guter Durchlüftung lagern. Von Hitze und </w:t>
      </w:r>
    </w:p>
    <w:p w:rsidR="00000000" w:rsidDel="00000000" w:rsidP="00000000" w:rsidRDefault="00000000" w:rsidRPr="00000000" w14:paraId="000000BB">
      <w:pPr>
        <w:ind w:left="0" w:firstLine="0"/>
        <w:rPr/>
      </w:pPr>
      <w:r w:rsidDel="00000000" w:rsidR="00000000" w:rsidRPr="00000000">
        <w:rPr>
          <w:rtl w:val="0"/>
        </w:rPr>
        <w:t xml:space="preserve">direkter Sonneneinstrahlung fernhalten. </w:t>
      </w:r>
    </w:p>
    <w:p w:rsidR="00000000" w:rsidDel="00000000" w:rsidP="00000000" w:rsidRDefault="00000000" w:rsidRPr="00000000" w14:paraId="000000BC">
      <w:pPr>
        <w:ind w:firstLine="0"/>
        <w:rPr/>
      </w:pPr>
      <w:r w:rsidDel="00000000" w:rsidR="00000000" w:rsidRPr="00000000">
        <w:rPr>
          <w:rtl w:val="0"/>
        </w:rPr>
        <w:t xml:space="preserve">Behälter dicht geschlossen halten. </w:t>
      </w:r>
    </w:p>
    <w:p w:rsidR="00000000" w:rsidDel="00000000" w:rsidP="00000000" w:rsidRDefault="00000000" w:rsidRPr="00000000" w14:paraId="000000BD">
      <w:pPr>
        <w:ind w:left="0" w:firstLine="0"/>
        <w:rPr/>
      </w:pPr>
      <w:r w:rsidDel="00000000" w:rsidR="00000000" w:rsidRPr="00000000">
        <w:rPr>
          <w:rtl w:val="0"/>
        </w:rPr>
        <w:t xml:space="preserve">Rauchverbot. Unbefugten Zutritt verhindern. Behälter, welche geöffnet wurden, sorgfältig verschließen und aufrecht  lagern, um das Auslaufen zu verhindern. </w:t>
      </w:r>
    </w:p>
    <w:p w:rsidR="00000000" w:rsidDel="00000000" w:rsidP="00000000" w:rsidRDefault="00000000" w:rsidRPr="00000000" w14:paraId="000000BE">
      <w:pPr>
        <w:ind w:firstLine="0"/>
        <w:rPr/>
      </w:pPr>
      <w:r w:rsidDel="00000000" w:rsidR="00000000" w:rsidRPr="00000000">
        <w:rPr>
          <w:rtl w:val="0"/>
        </w:rPr>
        <w:t xml:space="preserve">7.3 Spezifische Endanwendungen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Empfehlungen :  Nicht verfügbar.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Spezifische Lösungen für den Industriesektor :  Nicht verfügbar.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37.0732307434082" w:lineRule="auto"/>
              <w:ind w:left="69.72831726074219" w:right="227.845458984375" w:hanging="9.75830078125"/>
              <w:rPr/>
            </w:pPr>
            <w:r w:rsidDel="00000000" w:rsidR="00000000" w:rsidRPr="00000000">
              <w:rPr>
                <w:rtl w:val="0"/>
              </w:rPr>
              <w:t xml:space="preserve">ABSCHNITT 8: Begrenzung und Überwachung der Exposition/Persönliche  Schutzausrüstungen</w:t>
            </w:r>
          </w:p>
        </w:tc>
      </w:tr>
    </w:tbl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Die Informationen in diesem Abschnitt enthalten allgemeine Ratschläge und Anleitungen. Bereitgestellte Informationen  beruhen auf typischen voraussichtlichen Verwendungen des Produkts. Bei der Handhabung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von Großmengen oder  anderen Verwendungen, die die Exposition von Arbeitern oder die Freisetzung in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die Umwelt signifikant erhöhen  können, sind eventuell zusätzliche Maßnahmen erforderlich.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8.1 Zu überwachende Parameter 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Arbeitsplatz-Grenzwerte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Empfohlene  Überwachungsverfahren :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Falls dieses Produkt Inhaltsstoffe mit Expositionsgrenzen enthält, kann eine  persönliche, atmosphärische (bezogen auf den Arbeitsplatz) oder biologische Überwachung erforderlich sein, um die Wirksamkeit der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Belüftung oder anderer  Kontrollmaßnahmen und/oder die Notwendigkeit der Verwendung von  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Atemschutzgeräten zu ermitteln. Es sollte ein Hinweis auf Überprüfungsnormen  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erfolgen, wie beispeilsweise der Folgende: Europäische Norm DIN EN 689 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(Arbeitsplatzatmosphären - Anleitung zur Ermittlung der inhalativen Exposition 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gegenüber chemischen Stoffen zum Vergleich mit Grenzwerten und Messstrategie)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Europäische Norm DIN EN 14042 (Arbeitsplatzatmosphären - Leitfaden für die  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Anwendung und den Einsatz von Verfahren und Geräten zur Ermittlung chemischer 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und biologischer Arbeitsstoffe) Europäische Norm DIN EN 482 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(Arbeitsplatzatmosphären - Allgemeine Anforderungen an die Leistungsfähigkeit von  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Verfahren zur Messung chemischer Arbeitsstoffe) Hinweis auf nationale 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Anleitungsdokumente für Methoden zur Bestimmung gefährlicher 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Stoffe wird  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ebenfalls gefordert. 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DNEL's/DMEL's</w:t>
      </w:r>
    </w:p>
    <w:p w:rsidR="00000000" w:rsidDel="00000000" w:rsidP="00000000" w:rsidRDefault="00000000" w:rsidRPr="00000000" w14:paraId="000000DC">
      <w:pPr>
        <w:widowControl w:val="0"/>
        <w:spacing w:before="65.9027099609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Es liegen keine DNELs/DMELs-Werte vor.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PNEC's 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Es liegen keine PNECs-Werte vor.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Ausgabedatum  : 5-1-2019</w:t>
      </w:r>
    </w:p>
    <w:tbl>
      <w:tblPr>
        <w:tblStyle w:val="Table13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369.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DECORATEURSVERNIS</w:t>
            </w:r>
          </w:p>
        </w:tc>
      </w:tr>
      <w:tr>
        <w:trPr>
          <w:cantSplit w:val="0"/>
          <w:trHeight w:val="443.905511811023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37.0732307434082" w:lineRule="auto"/>
              <w:ind w:left="69.72831726074219" w:right="227.845458984375" w:hanging="9.75830078125"/>
              <w:rPr/>
            </w:pPr>
            <w:r w:rsidDel="00000000" w:rsidR="00000000" w:rsidRPr="00000000">
              <w:rPr>
                <w:rtl w:val="0"/>
              </w:rPr>
              <w:t xml:space="preserve">ABSCHNITT 8: Begrenzung und Überwachung der Exposition/Persönliche  Schutzausrüstungen</w:t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8.2 Begrenzung und Überwachung der Exposition 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Geeignete technische Steuerungseinrichtungen 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Für ausreichende Lüftung sorgen. Wo vernünftigerweise praktikabel kann dies  durch lokale 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Absaugung und einer guten allgemeinen Entlüftung geschehen. Falls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dies nicht ausreicht,um die Partikel- und Lösemitteldampfkonzentration unter den  Arbeitsplatz- 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Grenzwerten zu halten, muß ein geeigneter Atemschutz getragen werden. </w:t>
      </w:r>
    </w:p>
    <w:p w:rsidR="00000000" w:rsidDel="00000000" w:rsidP="00000000" w:rsidRDefault="00000000" w:rsidRPr="00000000" w14:paraId="000000E9">
      <w:pPr>
        <w:ind w:left="0" w:firstLine="0"/>
        <w:rPr/>
      </w:pPr>
      <w:r w:rsidDel="00000000" w:rsidR="00000000" w:rsidRPr="00000000">
        <w:rPr>
          <w:rtl w:val="0"/>
        </w:rPr>
        <w:t xml:space="preserve">Hygienische Maßnahmen : </w:t>
      </w:r>
    </w:p>
    <w:p w:rsidR="00000000" w:rsidDel="00000000" w:rsidP="00000000" w:rsidRDefault="00000000" w:rsidRPr="00000000" w14:paraId="000000EA">
      <w:pPr>
        <w:ind w:left="0" w:firstLine="0"/>
        <w:rPr/>
      </w:pPr>
      <w:r w:rsidDel="00000000" w:rsidR="00000000" w:rsidRPr="00000000">
        <w:rPr>
          <w:rtl w:val="0"/>
        </w:rPr>
        <w:t xml:space="preserve">Waschen Sie nach dem Umgang mit chemischen Produkten und am Ende des  </w:t>
      </w:r>
    </w:p>
    <w:p w:rsidR="00000000" w:rsidDel="00000000" w:rsidP="00000000" w:rsidRDefault="00000000" w:rsidRPr="00000000" w14:paraId="000000EB">
      <w:pPr>
        <w:ind w:left="0" w:firstLine="0"/>
        <w:rPr/>
      </w:pPr>
      <w:r w:rsidDel="00000000" w:rsidR="00000000" w:rsidRPr="00000000">
        <w:rPr>
          <w:rtl w:val="0"/>
        </w:rPr>
        <w:t xml:space="preserve">Arbeitstages ebenso wie vor dem Essen, Rauchen und einem Toilettenbesuch  </w:t>
      </w:r>
    </w:p>
    <w:p w:rsidR="00000000" w:rsidDel="00000000" w:rsidP="00000000" w:rsidRDefault="00000000" w:rsidRPr="00000000" w14:paraId="000000EC">
      <w:pPr>
        <w:ind w:left="0" w:firstLine="0"/>
        <w:rPr/>
      </w:pPr>
      <w:r w:rsidDel="00000000" w:rsidR="00000000" w:rsidRPr="00000000">
        <w:rPr>
          <w:rtl w:val="0"/>
        </w:rPr>
        <w:t xml:space="preserve">gründlich Hände, Unterarme und Gesicht. Geeignete Methoden zur Beseitigung  </w:t>
      </w:r>
    </w:p>
    <w:p w:rsidR="00000000" w:rsidDel="00000000" w:rsidP="00000000" w:rsidRDefault="00000000" w:rsidRPr="00000000" w14:paraId="000000ED">
      <w:pPr>
        <w:ind w:left="0" w:firstLine="0"/>
        <w:rPr/>
      </w:pPr>
      <w:r w:rsidDel="00000000" w:rsidR="00000000" w:rsidRPr="00000000">
        <w:rPr>
          <w:rtl w:val="0"/>
        </w:rPr>
        <w:t xml:space="preserve">kontaminierter Kleidung wählen. Kontaminierte Kleidung vor der erneuten  </w:t>
      </w:r>
    </w:p>
    <w:p w:rsidR="00000000" w:rsidDel="00000000" w:rsidP="00000000" w:rsidRDefault="00000000" w:rsidRPr="00000000" w14:paraId="000000EE">
      <w:pPr>
        <w:ind w:left="0" w:firstLine="0"/>
        <w:rPr/>
      </w:pPr>
      <w:r w:rsidDel="00000000" w:rsidR="00000000" w:rsidRPr="00000000">
        <w:rPr>
          <w:rtl w:val="0"/>
        </w:rPr>
        <w:t xml:space="preserve">Verwendung waschen. Stellen Sie sicher, dass in der Nähe des Arbeitsbereichs  </w:t>
      </w:r>
    </w:p>
    <w:p w:rsidR="00000000" w:rsidDel="00000000" w:rsidP="00000000" w:rsidRDefault="00000000" w:rsidRPr="00000000" w14:paraId="000000EF">
      <w:pPr>
        <w:ind w:left="0" w:firstLine="0"/>
        <w:rPr/>
      </w:pPr>
      <w:r w:rsidDel="00000000" w:rsidR="00000000" w:rsidRPr="00000000">
        <w:rPr>
          <w:rtl w:val="0"/>
        </w:rPr>
        <w:t xml:space="preserve">Augenspülstationen und Sicherheitsduschen vorhanden sind. </w:t>
      </w:r>
    </w:p>
    <w:p w:rsidR="00000000" w:rsidDel="00000000" w:rsidP="00000000" w:rsidRDefault="00000000" w:rsidRPr="00000000" w14:paraId="000000F0">
      <w:pPr>
        <w:ind w:left="0" w:firstLine="0"/>
        <w:rPr/>
      </w:pPr>
      <w:r w:rsidDel="00000000" w:rsidR="00000000" w:rsidRPr="00000000">
        <w:rPr>
          <w:rtl w:val="0"/>
        </w:rPr>
        <w:t xml:space="preserve">Augen-/Gesichtsschutz : Zum Schutz gegen Spritzer Schutzbrille tragen. </w:t>
      </w:r>
    </w:p>
    <w:p w:rsidR="00000000" w:rsidDel="00000000" w:rsidP="00000000" w:rsidRDefault="00000000" w:rsidRPr="00000000" w14:paraId="000000F1">
      <w:pPr>
        <w:ind w:left="0" w:firstLine="0"/>
        <w:rPr/>
      </w:pPr>
      <w:r w:rsidDel="00000000" w:rsidR="00000000" w:rsidRPr="00000000">
        <w:rPr>
          <w:rtl w:val="0"/>
        </w:rPr>
        <w:t xml:space="preserve">Hautschutz </w:t>
      </w:r>
    </w:p>
    <w:p w:rsidR="00000000" w:rsidDel="00000000" w:rsidP="00000000" w:rsidRDefault="00000000" w:rsidRPr="00000000" w14:paraId="000000F2">
      <w:pPr>
        <w:ind w:left="0" w:firstLine="0"/>
        <w:rPr/>
      </w:pPr>
      <w:r w:rsidDel="00000000" w:rsidR="00000000" w:rsidRPr="00000000">
        <w:rPr>
          <w:rtl w:val="0"/>
        </w:rPr>
        <w:t xml:space="preserve">Handschutz </w:t>
      </w:r>
    </w:p>
    <w:p w:rsidR="00000000" w:rsidDel="00000000" w:rsidP="00000000" w:rsidRDefault="00000000" w:rsidRPr="00000000" w14:paraId="000000F3">
      <w:pPr>
        <w:ind w:left="0" w:firstLine="0"/>
        <w:rPr/>
      </w:pPr>
      <w:r w:rsidDel="00000000" w:rsidR="00000000" w:rsidRPr="00000000">
        <w:rPr>
          <w:rtl w:val="0"/>
        </w:rPr>
        <w:t xml:space="preserve">Handschuhe : </w:t>
      </w:r>
    </w:p>
    <w:p w:rsidR="00000000" w:rsidDel="00000000" w:rsidP="00000000" w:rsidRDefault="00000000" w:rsidRPr="00000000" w14:paraId="000000F4">
      <w:pPr>
        <w:ind w:left="0" w:firstLine="0"/>
        <w:rPr/>
      </w:pPr>
      <w:r w:rsidDel="00000000" w:rsidR="00000000" w:rsidRPr="00000000">
        <w:rPr>
          <w:rtl w:val="0"/>
        </w:rPr>
        <w:t xml:space="preserve">Bei längerem oder häufig wiederholtem Kontakt wird ein Handschuh mit einer  </w:t>
      </w:r>
    </w:p>
    <w:p w:rsidR="00000000" w:rsidDel="00000000" w:rsidP="00000000" w:rsidRDefault="00000000" w:rsidRPr="00000000" w14:paraId="000000F5">
      <w:pPr>
        <w:ind w:left="0" w:firstLine="0"/>
        <w:rPr/>
      </w:pPr>
      <w:r w:rsidDel="00000000" w:rsidR="00000000" w:rsidRPr="00000000">
        <w:rPr>
          <w:rtl w:val="0"/>
        </w:rPr>
        <w:t xml:space="preserve">Schutzklasse von 6 (Durchbruchzeit&gt; 480 Minuten nach EN374) empfohlen. </w:t>
      </w:r>
    </w:p>
    <w:p w:rsidR="00000000" w:rsidDel="00000000" w:rsidP="00000000" w:rsidRDefault="00000000" w:rsidRPr="00000000" w14:paraId="000000F6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Empfohlene Handschuhe: Viton ® oder Nitril, Dicke ≥ 0,38 mm.Wenn nur ein kurzer  </w:t>
      </w:r>
    </w:p>
    <w:p w:rsidR="00000000" w:rsidDel="00000000" w:rsidP="00000000" w:rsidRDefault="00000000" w:rsidRPr="00000000" w14:paraId="000000F7">
      <w:pPr>
        <w:ind w:left="0" w:firstLine="0"/>
        <w:rPr/>
      </w:pPr>
      <w:r w:rsidDel="00000000" w:rsidR="00000000" w:rsidRPr="00000000">
        <w:rPr>
          <w:rtl w:val="0"/>
        </w:rPr>
        <w:t xml:space="preserve">Kontakt erwartet wird, ist ein Handschuh mit einer Schutzklasse von 2 oder höher  </w:t>
      </w:r>
    </w:p>
    <w:p w:rsidR="00000000" w:rsidDel="00000000" w:rsidP="00000000" w:rsidRDefault="00000000" w:rsidRPr="00000000" w14:paraId="000000F8">
      <w:pPr>
        <w:ind w:left="0" w:firstLine="0"/>
        <w:rPr/>
      </w:pPr>
      <w:r w:rsidDel="00000000" w:rsidR="00000000" w:rsidRPr="00000000">
        <w:rPr>
          <w:rtl w:val="0"/>
        </w:rPr>
        <w:t xml:space="preserve">(Durchbruchzeit &gt;30 Minuten gemäß EN374) empfohlen. Empfohlene Handschuhe: </w:t>
      </w:r>
    </w:p>
    <w:p w:rsidR="00000000" w:rsidDel="00000000" w:rsidP="00000000" w:rsidRDefault="00000000" w:rsidRPr="00000000" w14:paraId="000000F9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Nitril, Dicke ≥ 0,12 mm. Die Handschuhe sollten regelmäßig ausgetauscht werden  </w:t>
      </w:r>
    </w:p>
    <w:p w:rsidR="00000000" w:rsidDel="00000000" w:rsidP="00000000" w:rsidRDefault="00000000" w:rsidRPr="00000000" w14:paraId="000000FA">
      <w:pPr>
        <w:ind w:left="0" w:firstLine="0"/>
        <w:rPr/>
      </w:pPr>
      <w:r w:rsidDel="00000000" w:rsidR="00000000" w:rsidRPr="00000000">
        <w:rPr>
          <w:rtl w:val="0"/>
        </w:rPr>
        <w:t xml:space="preserve">und ebenfalls wenn das Handschuhmaterial beschädigt ist. Die Leistung oder  </w:t>
      </w:r>
    </w:p>
    <w:p w:rsidR="00000000" w:rsidDel="00000000" w:rsidP="00000000" w:rsidRDefault="00000000" w:rsidRPr="00000000" w14:paraId="000000FB">
      <w:pPr>
        <w:ind w:left="0" w:firstLine="0"/>
        <w:rPr/>
      </w:pPr>
      <w:r w:rsidDel="00000000" w:rsidR="00000000" w:rsidRPr="00000000">
        <w:rPr>
          <w:rtl w:val="0"/>
        </w:rPr>
        <w:t xml:space="preserve">Wirksamkeit des Handschuhs kann durch physikalische / chemische Schäden und  </w:t>
      </w:r>
    </w:p>
    <w:p w:rsidR="00000000" w:rsidDel="00000000" w:rsidP="00000000" w:rsidRDefault="00000000" w:rsidRPr="00000000" w14:paraId="000000FC">
      <w:pPr>
        <w:ind w:left="0" w:firstLine="0"/>
        <w:rPr/>
      </w:pPr>
      <w:r w:rsidDel="00000000" w:rsidR="00000000" w:rsidRPr="00000000">
        <w:rPr>
          <w:rtl w:val="0"/>
        </w:rPr>
        <w:t xml:space="preserve">schlechte Wartung beeinträchtigt werden. </w:t>
      </w:r>
    </w:p>
    <w:p w:rsidR="00000000" w:rsidDel="00000000" w:rsidP="00000000" w:rsidRDefault="00000000" w:rsidRPr="00000000" w14:paraId="000000FD">
      <w:pPr>
        <w:ind w:left="0" w:firstLine="0"/>
        <w:rPr/>
      </w:pPr>
      <w:r w:rsidDel="00000000" w:rsidR="00000000" w:rsidRPr="00000000">
        <w:rPr>
          <w:rtl w:val="0"/>
        </w:rPr>
        <w:t xml:space="preserve">Körperschutz :  Das Personal sollte antistatische Kleidung aus Naturfaser oder </w:t>
      </w:r>
    </w:p>
    <w:p w:rsidR="00000000" w:rsidDel="00000000" w:rsidP="00000000" w:rsidRDefault="00000000" w:rsidRPr="00000000" w14:paraId="000000FE">
      <w:pPr>
        <w:ind w:left="0" w:firstLine="0"/>
        <w:rPr/>
      </w:pPr>
      <w:r w:rsidDel="00000000" w:rsidR="00000000" w:rsidRPr="00000000">
        <w:rPr>
          <w:rtl w:val="0"/>
        </w:rPr>
        <w:t xml:space="preserve">aus hitzebeständiger Kunstfaser tragen. </w:t>
      </w:r>
    </w:p>
    <w:p w:rsidR="00000000" w:rsidDel="00000000" w:rsidP="00000000" w:rsidRDefault="00000000" w:rsidRPr="00000000" w14:paraId="000000FF">
      <w:pPr>
        <w:ind w:left="0" w:firstLine="0"/>
        <w:rPr/>
      </w:pPr>
      <w:r w:rsidDel="00000000" w:rsidR="00000000" w:rsidRPr="00000000">
        <w:rPr>
          <w:rtl w:val="0"/>
        </w:rPr>
        <w:t xml:space="preserve">Anderer Hautschutz : Geeignetes Schuhwerk und zusätzliche Hautschutzmaßnahmen</w:t>
      </w:r>
    </w:p>
    <w:p w:rsidR="00000000" w:rsidDel="00000000" w:rsidP="00000000" w:rsidRDefault="00000000" w:rsidRPr="00000000" w14:paraId="00000100">
      <w:pPr>
        <w:ind w:left="0" w:firstLine="0"/>
        <w:rPr/>
      </w:pPr>
      <w:r w:rsidDel="00000000" w:rsidR="00000000" w:rsidRPr="00000000">
        <w:rPr>
          <w:rtl w:val="0"/>
        </w:rPr>
        <w:t xml:space="preserve">  auf Basis der durchzuführenden Aufgabe und der damit verbundenen Gefahren </w:t>
      </w:r>
    </w:p>
    <w:p w:rsidR="00000000" w:rsidDel="00000000" w:rsidP="00000000" w:rsidRDefault="00000000" w:rsidRPr="00000000" w14:paraId="00000101">
      <w:pPr>
        <w:ind w:left="0" w:firstLine="0"/>
        <w:rPr/>
      </w:pPr>
      <w:r w:rsidDel="00000000" w:rsidR="00000000" w:rsidRPr="00000000">
        <w:rPr>
          <w:rtl w:val="0"/>
        </w:rPr>
        <w:t xml:space="preserve">wählen, und  vorgängig durch einen Fachmann genehmigen lassen. </w:t>
      </w:r>
    </w:p>
    <w:p w:rsidR="00000000" w:rsidDel="00000000" w:rsidP="00000000" w:rsidRDefault="00000000" w:rsidRPr="00000000" w14:paraId="00000102">
      <w:pPr>
        <w:ind w:left="0" w:firstLine="0"/>
        <w:rPr/>
      </w:pPr>
      <w:r w:rsidDel="00000000" w:rsidR="00000000" w:rsidRPr="00000000">
        <w:rPr>
          <w:rtl w:val="0"/>
        </w:rPr>
        <w:t xml:space="preserve">Atemschutz : </w:t>
      </w:r>
    </w:p>
    <w:p w:rsidR="00000000" w:rsidDel="00000000" w:rsidP="00000000" w:rsidRDefault="00000000" w:rsidRPr="00000000" w14:paraId="00000103">
      <w:pPr>
        <w:ind w:left="0" w:firstLine="0"/>
        <w:rPr/>
      </w:pPr>
      <w:r w:rsidDel="00000000" w:rsidR="00000000" w:rsidRPr="00000000">
        <w:rPr>
          <w:rtl w:val="0"/>
        </w:rPr>
        <w:t xml:space="preserve">Wenn die Arbeiter einer Konzentration über dem Grenzwert ausgesetzt sind, </w:t>
      </w:r>
    </w:p>
    <w:p w:rsidR="00000000" w:rsidDel="00000000" w:rsidP="00000000" w:rsidRDefault="00000000" w:rsidRPr="00000000" w14:paraId="00000104">
      <w:pPr>
        <w:ind w:left="0" w:firstLine="0"/>
        <w:rPr/>
      </w:pPr>
      <w:r w:rsidDel="00000000" w:rsidR="00000000" w:rsidRPr="00000000">
        <w:rPr>
          <w:rtl w:val="0"/>
        </w:rPr>
        <w:t xml:space="preserve">müssen sie geeignete und zugelassen Atemschutzgeräte tragen. </w:t>
      </w:r>
    </w:p>
    <w:p w:rsidR="00000000" w:rsidDel="00000000" w:rsidP="00000000" w:rsidRDefault="00000000" w:rsidRPr="00000000" w14:paraId="00000105">
      <w:pPr>
        <w:ind w:left="0" w:firstLine="0"/>
        <w:rPr/>
      </w:pPr>
      <w:r w:rsidDel="00000000" w:rsidR="00000000" w:rsidRPr="00000000">
        <w:rPr>
          <w:rtl w:val="0"/>
        </w:rPr>
        <w:t xml:space="preserve">Die Weiterbehandlungen wie Schleifen, Abbrennen etc. von Farbschichten kann  </w:t>
      </w:r>
    </w:p>
    <w:p w:rsidR="00000000" w:rsidDel="00000000" w:rsidP="00000000" w:rsidRDefault="00000000" w:rsidRPr="00000000" w14:paraId="00000106">
      <w:pPr>
        <w:ind w:left="0" w:firstLine="0"/>
        <w:rPr/>
      </w:pPr>
      <w:r w:rsidDel="00000000" w:rsidR="00000000" w:rsidRPr="00000000">
        <w:rPr>
          <w:rtl w:val="0"/>
        </w:rPr>
        <w:t xml:space="preserve">gefährlichen Staub und/oder Rauch entwickeln. Nass-Schleifen/Planschleifen sollte  </w:t>
      </w:r>
    </w:p>
    <w:p w:rsidR="00000000" w:rsidDel="00000000" w:rsidP="00000000" w:rsidRDefault="00000000" w:rsidRPr="00000000" w14:paraId="00000107">
      <w:pPr>
        <w:ind w:left="0" w:firstLine="0"/>
        <w:rPr/>
      </w:pPr>
      <w:r w:rsidDel="00000000" w:rsidR="00000000" w:rsidRPr="00000000">
        <w:rPr>
          <w:rtl w:val="0"/>
        </w:rPr>
        <w:t xml:space="preserve">nach Möglichkeit angewandt werden. Arbeiten nur in gut belüfteten Bereichen 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durchführen. Atemschutz bei Staub- und Sprühnebelentwicklung. (Partikelfilter  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EN143 Typ P2) Atemschutz bei Dampfentwicklung . (Halbmaske mit  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Kombinationsfilter A2-P2 bei Konzentrationen bis 0,5 Vol%.) 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Begrenzung und Überwachung der Umweltexposition 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Nicht in die Kanalisation oder Gewässer gelangen lassen.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Ausgabedatum : 5-1-2019</w:t>
      </w:r>
    </w:p>
    <w:tbl>
      <w:tblPr>
        <w:tblStyle w:val="Table14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369.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DECORATEURSVERNIS</w:t>
            </w:r>
          </w:p>
        </w:tc>
      </w:tr>
    </w:tbl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39.5785903930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590393066"/>
        <w:tblGridChange w:id="0">
          <w:tblGrid>
            <w:gridCol w:w="10439.578590393066"/>
          </w:tblGrid>
        </w:tblGridChange>
      </w:tblGrid>
      <w:tr>
        <w:trPr>
          <w:cantSplit w:val="0"/>
          <w:trHeight w:val="436.5814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59.970054626464844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9: Physikalische und chemische Eigenschaften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9.1. Angaben zu den grundlegenden physikalischen und chemischen Eigenschaften 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Aussehen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Physikalischer Zustand  Flüssigkeit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Farbe  :   Translucent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Geruch : Nicht verfügbar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Geruchsschwelle : Nicht verfügbar.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pH-Wert : Nicht verfügbar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Schmelzpunkt/Gefrierpunkt : Nicht verfügbar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Siedebeginn und Siedebereich : 100°C</w:t>
      </w:r>
    </w:p>
    <w:p w:rsidR="00000000" w:rsidDel="00000000" w:rsidP="00000000" w:rsidRDefault="00000000" w:rsidRPr="00000000" w14:paraId="0000011E">
      <w:pPr>
        <w:spacing w:line="331.2" w:lineRule="auto"/>
        <w:rPr/>
      </w:pPr>
      <w:r w:rsidDel="00000000" w:rsidR="00000000" w:rsidRPr="00000000">
        <w:rPr>
          <w:rtl w:val="0"/>
        </w:rPr>
        <w:t xml:space="preserve">Flammpunkt : Nicht anwendbar.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Verdampfungsgeschwindigkeit : Nicht verfügbar.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Obere/untere Entzündbarkeits oder Explosionsgrenzen : Nicht verfügbar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Dampfdruck :  Nicht verfügbar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Dampfdichte :  Nicht verfügbar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Relative Dichte  :  1,033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Löslichkeit(en) : In den folgenden Materialien leicht löslich: kaltes Wasser.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Verteilungskoeffizient: n Octanol/Wasser : Nicht verfügbar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Selbstentzündungstemperatur : Nicht verfügbar.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Zersetzungstemperatur : Nicht verfügbar.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Viscositeit 7-8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Explosive Eigenschaften : Nicht verfügbar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Oxidierende Eigenschaften : Nicht verfügbar.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VOC g/L 125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9.2. Sonstige Angaben 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Löslichkeit in Wasser : Nicht verfügbar.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Ausgabedatum : 5-1-2019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331.2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369.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DECORATEURSVERNIS</w:t>
            </w:r>
          </w:p>
        </w:tc>
      </w:tr>
    </w:tbl>
    <w:p w:rsidR="00000000" w:rsidDel="00000000" w:rsidP="00000000" w:rsidRDefault="00000000" w:rsidRPr="00000000" w14:paraId="0000014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434.1833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ABSCHNITT 10: Stabilität und Reaktivität</w:t>
            </w:r>
          </w:p>
        </w:tc>
      </w:tr>
    </w:tbl>
    <w:p w:rsidR="00000000" w:rsidDel="00000000" w:rsidP="00000000" w:rsidRDefault="00000000" w:rsidRPr="00000000" w14:paraId="000001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10.1 Reaktivität : Für dieses Produkt oder seine Inhaltsstoffe liegen keine speziellen Daten bezüglich  der Reaktivität vor. 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10.2 Chemische Stabilität : Stabil unter den empfohlenen Lager- und Umgangsbedingungen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(siehe Abschnitt 7).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10.3 Möglichkeit Unter normalen Lagerbedingungen und bei normalem Gebrauch treten keine 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   gefährlichen Reaktionen auf.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10.4 Zu vermeidende  Bedingungen : Kann bei Exposition gegenüber hohen Temperaturen gefährliche  Zersetzungsprodukte bilden. 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10.5 Unverträgliche  Materialien :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Von folgenden Stoffen fernhalten, um starke exotherme Reaktionen zu vermeiden: Oxidationsmittel, starke Laugen, starke Säuren.  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10.6 Gefährliche Zersetzungsprodukte :  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Zu den Zerfallsprodukten können die folgenden Materialien gehören: Kohlenmonoxid, Kohlendioxid, 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Rauch, Stickoxide.. </w:t>
      </w:r>
    </w:p>
    <w:p w:rsidR="00000000" w:rsidDel="00000000" w:rsidP="00000000" w:rsidRDefault="00000000" w:rsidRPr="00000000" w14:paraId="0000015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436.5814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59.97001647949219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11: Toxikologische Angaben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11.1 Angaben zu toxikologischen Wirkungen 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Für das Gemisch selbst liegen keine Daten vor. Das Produkt ist nicht als gefährlich eingestuft gemäß der Verordnung  (EG) 1272/2008 und deren Änderungen. 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Wiederholter oder langanhaltender Kontakt mit dem Gemisch kann den Entzug des natürlichen Fett aus 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der Haut  verursachen und zu einer nichtallergischen Kontaktdermatitis sowie der Absorption durch die 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Haut führen. Spritzer in die Augen können Reizungen und reversible Schäden verursachen. 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Dies berücksichtigt, wenn bekannt, verzögerte und sofortige Auswirkungen sowie chronische 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Auswirkungen der  Bestandteile, durch kurzfristige und langfristige Exposition über orale, inhalative 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und dermale Expositionswege sowie  Augenkontakt. 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Akute Toxizität 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Schlussfolgerung / Zusammenfassung : Nicht verfügbar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Schätzungen akuter Toxizität   Nicht verfügbar.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Reizung/Verätzung  Schlussfolgerung / Zusammenfassung : Nicht verfügbar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Sensibilisierung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Schlussfolgerung /  Zusammenfassung Nicht verfügbar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Mutagenität 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Schlussfolgerung / Zusammenfassung  Nicht verfügbar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Karzinogenität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Schlussfolgerung / Zusammenfassung  Nicht verfügbar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Ausgabedatum : 5-1-2019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369.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DECORATEURSVERNIS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576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59.97001647949219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11: Toxikologische Angaben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vertAlign w:val="baseline"/>
        </w:rPr>
      </w:pPr>
      <w:r w:rsidDel="00000000" w:rsidR="00000000" w:rsidRPr="00000000">
        <w:rPr>
          <w:rtl w:val="0"/>
        </w:rPr>
        <w:t xml:space="preserve">Reproduktionstoxizität 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rtl w:val="0"/>
        </w:rPr>
        <w:t xml:space="preserve">Schlussfolgerung / Zusammenfassung  Nicht verfügbar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7">
      <w:pPr>
        <w:rPr>
          <w:vertAlign w:val="baseline"/>
        </w:rPr>
      </w:pPr>
      <w:r w:rsidDel="00000000" w:rsidR="00000000" w:rsidRPr="00000000">
        <w:rPr>
          <w:rtl w:val="0"/>
        </w:rPr>
        <w:t xml:space="preserve">Teratogenität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vertAlign w:val="baseline"/>
        </w:rPr>
      </w:pPr>
      <w:r w:rsidDel="00000000" w:rsidR="00000000" w:rsidRPr="00000000">
        <w:rPr>
          <w:rtl w:val="0"/>
        </w:rPr>
        <w:t xml:space="preserve">Schlussfolgerung / Zusammenfassung  Nicht verfügbar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Spezifische Zielorgan-Toxizität bei einmaliger Exposition 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Nicht verfügbar. 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Spezifische Zielorgan-Toxizität bei wiederholter Exposition 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Nicht verfügbar. 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Aspirationsgefahr 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Nicht verfügbar. 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Sonstige Angaben : 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Nicht verfügbar. </w:t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439.577789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778930664"/>
        <w:tblGridChange w:id="0">
          <w:tblGrid>
            <w:gridCol w:w="10439.57778930664"/>
          </w:tblGrid>
        </w:tblGridChange>
      </w:tblGrid>
      <w:tr>
        <w:trPr>
          <w:cantSplit w:val="0"/>
          <w:trHeight w:val="434.1833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59.97001647949219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12: Umweltbezogene Angaben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12.1 Toxizität 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Für das Gemisch selbst liegen keine Daten vor. 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Nicht in die Kanalisation oder Gewässer gelangen lassen. </w:t>
      </w:r>
    </w:p>
    <w:p w:rsidR="00000000" w:rsidDel="00000000" w:rsidP="00000000" w:rsidRDefault="00000000" w:rsidRPr="00000000" w14:paraId="00000189">
      <w:pPr>
        <w:widowControl w:val="0"/>
        <w:spacing w:before="224.24560546875" w:line="232.00557231903076" w:lineRule="auto"/>
        <w:ind w:left="0" w:right="537.77099609375" w:firstLine="0"/>
        <w:rPr/>
      </w:pPr>
      <w:r w:rsidDel="00000000" w:rsidR="00000000" w:rsidRPr="00000000">
        <w:rPr>
          <w:rtl w:val="0"/>
        </w:rPr>
        <w:t xml:space="preserve">Das Gemisch wurde gemäß der Summationsmethode der Verordnung (EG) Nr. 1272/2008 (CLP-Verordnung) beurteilt und wird nicht als umweltgefährdend eingestuft, allerdings enthält es (eine) umweltgefährdende Substanz (en).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Schlussfolgerung / Zusammenfassung  Nicht verfügbar</w:t>
      </w:r>
    </w:p>
    <w:p w:rsidR="00000000" w:rsidDel="00000000" w:rsidP="00000000" w:rsidRDefault="00000000" w:rsidRPr="00000000" w14:paraId="0000018B">
      <w:pPr>
        <w:rPr>
          <w:vertAlign w:val="baseline"/>
        </w:rPr>
      </w:pPr>
      <w:r w:rsidDel="00000000" w:rsidR="00000000" w:rsidRPr="00000000">
        <w:rPr>
          <w:rtl w:val="0"/>
        </w:rPr>
        <w:t xml:space="preserve">12.2 Persistenz und Abbaubarkeit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Schlussfolgerung / Zusammenfassung  Nicht verfügbar</w:t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rtl w:val="0"/>
        </w:rPr>
        <w:t xml:space="preserve">12.3 Bioakkumulationspotenzial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E">
      <w:pPr>
        <w:rPr>
          <w:vertAlign w:val="baseline"/>
        </w:rPr>
      </w:pPr>
      <w:r w:rsidDel="00000000" w:rsidR="00000000" w:rsidRPr="00000000">
        <w:rPr>
          <w:rtl w:val="0"/>
        </w:rPr>
        <w:t xml:space="preserve">Schlussfolgerung / Zusammenfassung  Nicht verfügbar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vertAlign w:val="baseline"/>
        </w:rPr>
      </w:pPr>
      <w:r w:rsidDel="00000000" w:rsidR="00000000" w:rsidRPr="00000000">
        <w:rPr>
          <w:rtl w:val="0"/>
        </w:rPr>
        <w:t xml:space="preserve">12.4 Mobilität im Boden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Verteilungskoeffizient  Boden/Wasser (KOC)  : Nicht verfügbar.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vertAlign w:val="baseline"/>
        </w:rPr>
      </w:pPr>
      <w:r w:rsidDel="00000000" w:rsidR="00000000" w:rsidRPr="00000000">
        <w:rPr>
          <w:rtl w:val="0"/>
        </w:rPr>
        <w:t xml:space="preserve">Mobilität : Nicht verfügbar.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3">
      <w:pPr>
        <w:rPr>
          <w:vertAlign w:val="baseline"/>
        </w:rPr>
      </w:pPr>
      <w:r w:rsidDel="00000000" w:rsidR="00000000" w:rsidRPr="00000000">
        <w:rPr>
          <w:rtl w:val="0"/>
        </w:rPr>
        <w:t xml:space="preserve">12.5 Ergebnisse der PBT- und vPvB-Beurteilung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PBT : Nicht anwendbar. 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vPvB : Nicht anwendbar. 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12.6 Andere schädliche  Wirkungen 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Keine besonderen Wirkungen oder Gefahren bekannt.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Ausgabedatum : 5-1-2019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357.4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DECORATEURSVERNIS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439.5781707763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8170776367"/>
        <w:tblGridChange w:id="0">
          <w:tblGrid>
            <w:gridCol w:w="10439.578170776367"/>
          </w:tblGrid>
        </w:tblGridChange>
      </w:tblGrid>
      <w:tr>
        <w:trPr>
          <w:cantSplit w:val="0"/>
          <w:trHeight w:val="431.7834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59.97001647949219" w:firstLine="0"/>
              <w:rPr/>
            </w:pPr>
            <w:r w:rsidDel="00000000" w:rsidR="00000000" w:rsidRPr="00000000">
              <w:rPr>
                <w:rtl w:val="0"/>
              </w:rPr>
              <w:t xml:space="preserve">ABSCHNITT 13: Hinweise zur Entsorgung</w:t>
            </w:r>
          </w:p>
        </w:tc>
      </w:tr>
    </w:tbl>
    <w:p w:rsidR="00000000" w:rsidDel="00000000" w:rsidP="00000000" w:rsidRDefault="00000000" w:rsidRPr="00000000" w14:paraId="000001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Die Informationen in diesem Abschnitt enthalten allgemeine Ratschläge und Anleitungen. Die identifizierte Verwendung  in Abschnitt 1 sollte für jede anwendungsspezifische Information im Expositionsszenario/Expositionsszenarien  hinzugezogen werden. 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13.1 Verfahren der Abfallbehandlung 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Produkt 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Entsorgungsmethoden : 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Die Abfallerzeugung sollte nach Möglichkeit vermieden oder minimiert werden. Die  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Entsorgung dieses Produkts sowie seiner Lösungen und Nebenprodukte muss  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jederzeit unter Einhaltung der Umweltschutzanforderungen und  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Abfallbeseitigungsgesetze sowie den Anforderungen der örtlichen Behörden  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erfolgen. Überschüsse und nicht zum Recyceln geeignete Produkte über ein  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anerkanntes Abfallbeseitigungsunternehmen entsorgen. Abfall nicht unbehandelt in  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die Kanalisation einleiten ausser wenn alle anwendbaren Vorschriften der Behörden  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eingehalten werden. 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Gefährliche Abfälle : 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Nach gegenwärtigem Kenntnisstand des Lieferanten ist dieses Produkt nicht als  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gefährlicher Abfall im Sinne der EU-Richtlinie 2008/98/EG zu betrachten. 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Hinweise zur Entsorgung : 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Nicht in die Kanalisation oder Gewässer gelangen lassen. 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Bei der Entsorgung sind alle relevanten Bestimmungen von Bund, Ländern und  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Gemeinden zu beachten. 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Wird dieses Produkt mit anderen Abfallstoffen vermischt, dann gilt möglicherweise  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der ursprüngliche Abfallproduktcode nicht mehr und es muss ein geeigneter Code  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zugewiesen werden.  Für weitere Auskünfte wenden Sie sich bitte an Ihre örtliche Abfallbehörde. 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Verpackung 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Entsorgungsmethoden : 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Die Abfallerzeugung sollte nach Möglichkeit vermieden oder minimiert werden. 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Verpackungsabfall sollte wiederverwertet werden. Verbrennung oder Deponierung  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sollte nur in Betracht gezogen werden, wenn Wiederverwertung nicht durchführbar ist. 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Hinweise zur Entsorgung : Unter Zuhilfenahme der in diesem Sicherheitsdatenblatt bereitgestellten  Informationen muss von den zuständigen Abfallbehörden über die Klassifizierung  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leerer Behälter Rat eingeholt werden. 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Leere Behälter müssen verschrottet oder überholt werden. 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Durch das Produkt verunreinigte Behälter sind in Übereinstimmung mit lokalen und  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nationalen gesetzlichen Bestimmungen zu entsorgen.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899.2592740997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4.0624237060547"/>
        <w:gridCol w:w="7625.1968503937005"/>
        <w:tblGridChange w:id="0">
          <w:tblGrid>
            <w:gridCol w:w="2274.0624237060547"/>
            <w:gridCol w:w="7625.1968503937005"/>
          </w:tblGrid>
        </w:tblGridChange>
      </w:tblGrid>
      <w:tr>
        <w:trPr>
          <w:cantSplit w:val="0"/>
          <w:trHeight w:val="863.5675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Verpackungsart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CEPE-Richtlinien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Europäischer Abfallkatalog (EAK)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15 01 10* Verpackungen, die Rückstände gefährlicher Stoffe enthalten oder durch gefährliche Stoffe verunreinigt sind </w:t>
            </w:r>
          </w:p>
        </w:tc>
      </w:tr>
    </w:tbl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Besondere Vorsichtsmaßnahmen :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Abfälle und Behälter müssen in gesicherter Weise beseitigt werden. Leere Behälter  und Auskleidungen 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können Produktrückstände enthalten. Vermeiden Sie die Verbreitung und das Abfließen von freigesetztem Material sowie den Kontakt mit dem Erdreich, Gewässern, Abflüssen und Abwasserleitungen.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Ausgabedatum : 5-1-2019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431.49606299212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431.496062992126"/>
        <w:tblGridChange w:id="0">
          <w:tblGrid>
            <w:gridCol w:w="10431.49606299212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DECORATEURSVERNIS</w:t>
            </w:r>
          </w:p>
        </w:tc>
      </w:tr>
    </w:tbl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432.3815536499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2.381553649902"/>
        <w:tblGridChange w:id="0">
          <w:tblGrid>
            <w:gridCol w:w="10432.381553649902"/>
          </w:tblGrid>
        </w:tblGridChange>
      </w:tblGrid>
      <w:tr>
        <w:trPr>
          <w:cantSplit w:val="0"/>
          <w:trHeight w:val="436.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ind w:left="31.184425354003906" w:firstLine="0"/>
              <w:rPr/>
            </w:pPr>
            <w:r w:rsidDel="00000000" w:rsidR="00000000" w:rsidRPr="00000000">
              <w:rPr>
                <w:rtl w:val="0"/>
              </w:rPr>
              <w:t xml:space="preserve">ABSCHNITT 14: Angaben zum Transport</w:t>
            </w:r>
          </w:p>
        </w:tc>
      </w:tr>
    </w:tbl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4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3840"/>
        <w:gridCol w:w="4260"/>
        <w:tblGridChange w:id="0">
          <w:tblGrid>
            <w:gridCol w:w="2310"/>
            <w:gridCol w:w="3840"/>
            <w:gridCol w:w="4260"/>
          </w:tblGrid>
        </w:tblGridChange>
      </w:tblGrid>
      <w:tr>
        <w:trPr>
          <w:cantSplit w:val="0"/>
          <w:trHeight w:val="1117.841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 betreffend IATA und ADN wird als nicht relevant angesehen, weil das Material nicht verpackt ist in korrekten, zugelassenen Verpackungen,welche für diese Beförderungsarten notwendig sind.</w:t>
            </w:r>
          </w:p>
        </w:tc>
      </w:tr>
      <w:tr>
        <w:trPr>
          <w:cantSplit w:val="0"/>
          <w:trHeight w:val="436.58081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ADR                             IMDG</w:t>
            </w:r>
          </w:p>
        </w:tc>
      </w:tr>
      <w:tr>
        <w:trPr>
          <w:cantSplit w:val="0"/>
          <w:trHeight w:val="561.3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14.1 UN-Nummer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unterstellt. Nicht unterstellt. </w:t>
            </w:r>
          </w:p>
        </w:tc>
      </w:tr>
      <w:tr>
        <w:trPr>
          <w:cantSplit w:val="0"/>
          <w:trHeight w:val="1077.0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14.2  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Ordnungsgemäße UN 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Versandbezeichnung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anwendbar. 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anwendbar.</w:t>
            </w:r>
          </w:p>
        </w:tc>
      </w:tr>
      <w:tr>
        <w:trPr>
          <w:cantSplit w:val="0"/>
          <w:trHeight w:val="1554.4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14.3  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Transportgefahrenklassen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Klasse 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Unterklasse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anwendbar. 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anwendbar. 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566.11633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14.4  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Verpackungsgruppe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anwendbar.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anwendbar.</w:t>
            </w:r>
          </w:p>
        </w:tc>
      </w:tr>
      <w:tr>
        <w:trPr>
          <w:cantSplit w:val="0"/>
          <w:trHeight w:val="1578.41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14.5  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UmweltgefahrenMeeresschadstoff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Meeresschadstoffe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Nein.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Nein. 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verfügbar.</w:t>
            </w:r>
          </w:p>
        </w:tc>
      </w:tr>
      <w:tr>
        <w:trPr>
          <w:cantSplit w:val="0"/>
          <w:trHeight w:val="1559.22058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14.6 Besondere Vorsichtsmaßnahmen für den Verwender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Transport auf dem Werksgelände: nur in  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geschlossenen Behältern transportieren, die  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senkrecht und fest stehen. Personen, die das  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Produkt transportieren, müssen für das richtige  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Verhalten bei Unfällen, Auslaufen oder  </w:t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Verschütten unterwiesen sein.</w:t>
            </w:r>
          </w:p>
        </w:tc>
      </w:tr>
      <w:tr>
        <w:trPr>
          <w:cantSplit w:val="0"/>
          <w:trHeight w:val="1060.269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HI/Kemler-Zahl 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Notfallpläne  ("EmS")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Nicht verfügbar. 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Not applicable.</w:t>
            </w:r>
          </w:p>
        </w:tc>
      </w:tr>
      <w:tr>
        <w:trPr>
          <w:cantSplit w:val="0"/>
          <w:trHeight w:val="1372.1142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14.7 Massengutbeförderung  : Nicht anwendbar.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gemäß Anhang II des  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MARPOL-Übereinkommens  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 gemäß IBC-Code </w:t>
            </w:r>
          </w:p>
        </w:tc>
      </w:tr>
      <w:tr>
        <w:trPr>
          <w:cantSplit w:val="0"/>
          <w:trHeight w:val="813.1933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Zusätzliche  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tbl>
      <w:tblPr>
        <w:tblStyle w:val="Table27"/>
        <w:tblW w:w="10434.78057861328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4.780578613281"/>
        <w:tblGridChange w:id="0">
          <w:tblGrid>
            <w:gridCol w:w="10434.780578613281"/>
          </w:tblGrid>
        </w:tblGridChange>
      </w:tblGrid>
      <w:tr>
        <w:trPr>
          <w:cantSplit w:val="0"/>
          <w:trHeight w:val="436.5808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ABSCHNITT 15: Rechtsvorschriften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15.1 Vorschriften zu Sicherheit, Gesundheits- und Umweltschutz, spezifische Rechtsvorschriften für den Stoff  oder das Gemisch 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EG Verordnung (EG) Nr. 1907/2006 (REACH) 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Anhang XIV - Verzeichnis der zulassungspflichtigen Stoffe 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Anhang XIV 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Keine der Komponenten ist gelistet.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Besonders besorgniserregende Stoffe 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Keine der Komponenten ist gelistet. 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Anhang XVII - : 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Beschränkung der  Herstellung des  Inverkehrbringens und  der Verwendung  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bestimmter gefährlicher   Stoffe, Mischungen und  Erzeugnisse  Nicht anwendbar.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Sonstige EU-Bestimmungen 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VOC für gebrauchsfertige  Mischung : Nicht anwendbar. 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Ozonabbauende Substanzen (1005/2009/EU) 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Nicht gelistet. 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Vorherige Zustimmung nach Inkenntnissetzung (PIC, Prior Informed Consent) (649/2012/EU) Nicht gelistet. 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Seveso-Richtlinie 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Dieses Produkt wird nicht unter der Seveso-Richtlinie kontrolliert.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Nationale Vorschriften 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Lagerklasse (TRGS 510) : 12 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Wassergefährdungsklasse : 1 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Technische Anleitung Luft : TA-Luft Nummer 5.2.5: 11,9% 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AOX : Das Produkt enthält organisch gebundene Halogene und kann zum AOX-Wert im  Abwasser beitragen. 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Internationale Vorschriften 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Chemiewaffenübereinkommen, Chemikalien der Liste I, II &amp; III 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Nicht gelistet. 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Ausgabedatum : 5-1-2019</w:t>
      </w:r>
    </w:p>
    <w:p w:rsidR="00000000" w:rsidDel="00000000" w:rsidP="00000000" w:rsidRDefault="00000000" w:rsidRPr="00000000" w14:paraId="0000023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437.1793746948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7.179374694824"/>
        <w:tblGridChange w:id="0">
          <w:tblGrid>
            <w:gridCol w:w="10437.179374694824"/>
          </w:tblGrid>
        </w:tblGridChange>
      </w:tblGrid>
      <w:tr>
        <w:trPr>
          <w:cantSplit w:val="0"/>
          <w:trHeight w:val="369.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DECORATEURSVERNIS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576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ABSCHNITT 15: Rechtsvorschriften</w:t>
            </w:r>
          </w:p>
        </w:tc>
      </w:tr>
    </w:tbl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Montreal Protokoll (Anhänge A, B, C, E) 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Nicht gelistet. 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Stockholm-Konvention über persistente organische Schadstoffe 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Nicht gelistet. 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Rotterdamer Übereinkommen über das Verfahren der vorherigen Zustimmung nach Inkenntnissetzung (PIC) Nicht gelistet. 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UNECE-Aarhus-Protokoll über persistente organische Verbindungen (POP) und Schwermetalle Nicht gelistet. 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15.2 Stoffsicherheitsbeurteilung  :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Es wurde keine Stoffsicherheitsbeurteilung durchgeführt. 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0439.577789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39.57778930664"/>
        <w:tblGridChange w:id="0">
          <w:tblGrid>
            <w:gridCol w:w="10439.57778930664"/>
          </w:tblGrid>
        </w:tblGridChange>
      </w:tblGrid>
      <w:tr>
        <w:trPr>
          <w:cantSplit w:val="0"/>
          <w:trHeight w:val="434.1833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ind w:left="59.97001647949219" w:firstLine="0"/>
              <w:rPr/>
            </w:pPr>
            <w:r w:rsidDel="00000000" w:rsidR="00000000" w:rsidRPr="00000000">
              <w:rPr>
                <w:rtl w:val="0"/>
              </w:rPr>
              <w:t xml:space="preserve">ABSCHNITT 16: Sonstige Angaben</w:t>
            </w:r>
          </w:p>
        </w:tc>
      </w:tr>
    </w:tbl>
    <w:p w:rsidR="00000000" w:rsidDel="00000000" w:rsidP="00000000" w:rsidRDefault="00000000" w:rsidRPr="00000000" w14:paraId="000002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CEPE-Code : 8 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Kennzeichnet gegenüber der letzten Version veränderte Informationen. 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Abkürzungen und Akronyme : ATE = Schätzwert akute Toxizität 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CLP =Verordnung über die Einstufung, Kennzeichnung und Verpackung  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[Verordnung (EG) Nr. 1272/2008] 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DMEL = Abgeleiteter Minimaler-Effekt-Grenzwert 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DNEL = Abgeleiteter Nicht-Effekt-Grenzwert 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EUH-Satz = CLP-spezifischer Gefahrenhinweis 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PBT = Persistent, bioakkumulierbar und toxisch 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PNEC = Abgeschätzte Nicht-Effekt-Konzentration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329.233245849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17.689666748047"/>
        <w:gridCol w:w="4111.5435791015625"/>
        <w:tblGridChange w:id="0">
          <w:tblGrid>
            <w:gridCol w:w="6217.689666748047"/>
            <w:gridCol w:w="4111.5435791015625"/>
          </w:tblGrid>
        </w:tblGridChange>
      </w:tblGrid>
      <w:tr>
        <w:trPr>
          <w:cantSplit w:val="0"/>
          <w:trHeight w:val="347.825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Einstufung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Begründung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.819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Ni</w:t>
            </w:r>
            <w:r w:rsidDel="00000000" w:rsidR="00000000" w:rsidRPr="00000000">
              <w:rPr>
                <w:rtl w:val="0"/>
              </w:rPr>
              <w:t xml:space="preserve">cht eingestuft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color w:val="202124"/>
          <w:shd w:fill="f8f9fa" w:val="clear"/>
        </w:rPr>
      </w:pPr>
      <w:r w:rsidDel="00000000" w:rsidR="00000000" w:rsidRPr="00000000">
        <w:rPr>
          <w:color w:val="202124"/>
          <w:shd w:fill="f8f9fa" w:val="clear"/>
          <w:rtl w:val="0"/>
        </w:rPr>
        <w:t xml:space="preserve">Diese Informationen basieren auf unserem derzeitigen Wissensstand und sollen das Produkt nur im </w:t>
      </w:r>
    </w:p>
    <w:p w:rsidR="00000000" w:rsidDel="00000000" w:rsidP="00000000" w:rsidRDefault="00000000" w:rsidRPr="00000000" w14:paraId="00000263">
      <w:pPr>
        <w:rPr>
          <w:color w:val="202124"/>
          <w:shd w:fill="f8f9fa" w:val="clear"/>
        </w:rPr>
      </w:pPr>
      <w:r w:rsidDel="00000000" w:rsidR="00000000" w:rsidRPr="00000000">
        <w:rPr>
          <w:color w:val="202124"/>
          <w:shd w:fill="f8f9fa" w:val="clear"/>
          <w:rtl w:val="0"/>
        </w:rPr>
        <w:t xml:space="preserve">Hinblick auf Gesundheits-, Sicherheits- und Umweltaspekte beschreiben. Es sollte daher nicht als </w:t>
      </w:r>
    </w:p>
    <w:p w:rsidR="00000000" w:rsidDel="00000000" w:rsidP="00000000" w:rsidRDefault="00000000" w:rsidRPr="00000000" w14:paraId="00000264">
      <w:pPr>
        <w:rPr>
          <w:color w:val="202124"/>
          <w:shd w:fill="f8f9fa" w:val="clear"/>
        </w:rPr>
      </w:pPr>
      <w:r w:rsidDel="00000000" w:rsidR="00000000" w:rsidRPr="00000000">
        <w:rPr>
          <w:color w:val="202124"/>
          <w:shd w:fill="f8f9fa" w:val="clear"/>
          <w:rtl w:val="0"/>
        </w:rPr>
        <w:t xml:space="preserve">Garantie ausgelegt werden für eine bestimmte Eigenschaft des Produkts.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Ausgabedatum : 5-1-2019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Versie 1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17.48031496063" w:top="317.48031496063" w:left="708.6614173228347" w:right="566.9291338582677" w:header="0" w:footer="720"/>
      <w:cols w:equalWidth="0" w:num="1">
        <w:col w:space="0" w:w="10629.9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F">
    <w:pPr>
      <w:ind w:right="401.81102362204797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D">
    <w:pPr>
      <w:rPr/>
    </w:pPr>
    <w:r w:rsidDel="00000000" w:rsidR="00000000" w:rsidRPr="00000000">
      <w:rPr/>
      <w:pict>
        <v:shape id="WordPictureWatermark1" style="position:absolute;width:167.5187007874016pt;height:72.17561044563581pt;rotation:0;z-index:-503316481;mso-position-horizontal-relative:margin;mso-position-horizontal:absolute;margin-left:360.52854330708664pt;mso-position-vertical-relative:margin;mso-position-vertical:absolute;margin-top:706.748031496064pt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E">
    <w:pPr>
      <w:ind w:right="366.61417322834666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